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290" w:rsidRPr="00AE0290" w:rsidRDefault="00AE0290" w:rsidP="00AE0290">
      <w:pPr>
        <w:spacing w:after="174" w:line="259" w:lineRule="auto"/>
        <w:ind w:left="-5" w:hanging="10"/>
        <w:rPr>
          <w:rFonts w:ascii="Arial" w:eastAsia="Calibri" w:hAnsi="Arial" w:cs="Arial"/>
          <w:sz w:val="22"/>
        </w:rPr>
      </w:pPr>
      <w:r w:rsidRPr="00AE0290">
        <w:rPr>
          <w:rFonts w:ascii="Arial" w:eastAsia="Calibri" w:hAnsi="Arial" w:cs="Arial"/>
          <w:sz w:val="22"/>
        </w:rPr>
        <w:t>WL-IV.272.</w:t>
      </w:r>
      <w:r>
        <w:rPr>
          <w:rFonts w:ascii="Arial" w:eastAsia="Calibri" w:hAnsi="Arial" w:cs="Arial"/>
          <w:sz w:val="22"/>
        </w:rPr>
        <w:t>9</w:t>
      </w:r>
      <w:r w:rsidRPr="00AE0290">
        <w:rPr>
          <w:rFonts w:ascii="Arial" w:eastAsia="Calibri" w:hAnsi="Arial" w:cs="Arial"/>
          <w:sz w:val="22"/>
        </w:rPr>
        <w:t xml:space="preserve">.2026 </w:t>
      </w:r>
      <w:r w:rsidRPr="00AE0290">
        <w:rPr>
          <w:rFonts w:ascii="Arial" w:eastAsia="Calibri" w:hAnsi="Arial" w:cs="Arial"/>
          <w:sz w:val="22"/>
        </w:rPr>
        <w:tab/>
      </w:r>
      <w:r w:rsidRPr="00AE0290">
        <w:rPr>
          <w:rFonts w:ascii="Arial" w:eastAsia="Calibri" w:hAnsi="Arial" w:cs="Arial"/>
          <w:sz w:val="22"/>
        </w:rPr>
        <w:tab/>
      </w:r>
      <w:r w:rsidRPr="00AE0290">
        <w:rPr>
          <w:rFonts w:ascii="Arial" w:eastAsia="Calibri" w:hAnsi="Arial" w:cs="Arial"/>
          <w:sz w:val="22"/>
        </w:rPr>
        <w:tab/>
      </w:r>
      <w:r w:rsidRPr="00AE0290">
        <w:rPr>
          <w:rFonts w:ascii="Arial" w:eastAsia="Calibri" w:hAnsi="Arial" w:cs="Arial"/>
          <w:sz w:val="22"/>
        </w:rPr>
        <w:tab/>
      </w:r>
      <w:r w:rsidRPr="00AE0290">
        <w:rPr>
          <w:rFonts w:ascii="Arial" w:eastAsia="Calibri" w:hAnsi="Arial" w:cs="Arial"/>
          <w:sz w:val="22"/>
        </w:rPr>
        <w:tab/>
      </w:r>
      <w:r w:rsidRPr="00AE0290">
        <w:rPr>
          <w:rFonts w:ascii="Arial" w:eastAsia="Calibri" w:hAnsi="Arial" w:cs="Arial"/>
          <w:sz w:val="22"/>
        </w:rPr>
        <w:tab/>
      </w:r>
      <w:r w:rsidRPr="00AE0290">
        <w:rPr>
          <w:rFonts w:ascii="Arial" w:eastAsia="Calibri" w:hAnsi="Arial" w:cs="Arial"/>
          <w:sz w:val="22"/>
        </w:rPr>
        <w:tab/>
      </w:r>
      <w:r w:rsidRPr="00AE0290">
        <w:rPr>
          <w:rFonts w:ascii="Arial" w:eastAsia="Calibri" w:hAnsi="Arial" w:cs="Arial"/>
          <w:sz w:val="22"/>
        </w:rPr>
        <w:tab/>
        <w:t xml:space="preserve">zał. </w:t>
      </w:r>
      <w:r w:rsidR="000F7DB3">
        <w:rPr>
          <w:rFonts w:ascii="Arial" w:eastAsia="Calibri" w:hAnsi="Arial" w:cs="Arial"/>
          <w:sz w:val="22"/>
        </w:rPr>
        <w:t>1</w:t>
      </w:r>
      <w:r w:rsidR="006B1F79">
        <w:rPr>
          <w:rFonts w:ascii="Arial" w:eastAsia="Calibri" w:hAnsi="Arial" w:cs="Arial"/>
          <w:sz w:val="22"/>
        </w:rPr>
        <w:t>B</w:t>
      </w:r>
      <w:r w:rsidRPr="00AE0290">
        <w:rPr>
          <w:rFonts w:ascii="Arial" w:eastAsia="Calibri" w:hAnsi="Arial" w:cs="Arial"/>
          <w:sz w:val="22"/>
        </w:rPr>
        <w:t xml:space="preserve"> do swz</w:t>
      </w:r>
    </w:p>
    <w:p w:rsidR="00AE0290" w:rsidRDefault="00AE0290" w:rsidP="00AE0290">
      <w:pPr>
        <w:spacing w:after="120" w:line="259" w:lineRule="auto"/>
        <w:ind w:left="0" w:right="1" w:firstLine="0"/>
        <w:jc w:val="center"/>
        <w:rPr>
          <w:rFonts w:ascii="Arial" w:eastAsia="Calibri" w:hAnsi="Arial" w:cs="Arial"/>
          <w:b/>
          <w:sz w:val="22"/>
        </w:rPr>
      </w:pPr>
    </w:p>
    <w:p w:rsidR="00AE0290" w:rsidRPr="00AE0290" w:rsidRDefault="00AE0290" w:rsidP="00AE0290">
      <w:pPr>
        <w:spacing w:after="120" w:line="259" w:lineRule="auto"/>
        <w:ind w:left="0" w:right="1" w:firstLine="0"/>
        <w:jc w:val="center"/>
        <w:rPr>
          <w:rFonts w:ascii="Arial" w:eastAsia="Calibri" w:hAnsi="Arial" w:cs="Arial"/>
          <w:b/>
          <w:sz w:val="22"/>
        </w:rPr>
      </w:pPr>
      <w:r w:rsidRPr="00AE0290">
        <w:rPr>
          <w:rFonts w:ascii="Arial" w:eastAsia="Calibri" w:hAnsi="Arial" w:cs="Arial"/>
          <w:b/>
          <w:sz w:val="22"/>
        </w:rPr>
        <w:t>Opis Przedmiotu Zamówienia</w:t>
      </w:r>
      <w:r w:rsidR="00791D36">
        <w:rPr>
          <w:rFonts w:ascii="Arial" w:eastAsia="Calibri" w:hAnsi="Arial" w:cs="Arial"/>
          <w:b/>
          <w:sz w:val="22"/>
        </w:rPr>
        <w:t xml:space="preserve"> / specyfikacja techniczna</w:t>
      </w:r>
      <w:r w:rsidR="00947CE8">
        <w:rPr>
          <w:rFonts w:ascii="Arial" w:eastAsia="Calibri" w:hAnsi="Arial" w:cs="Arial"/>
          <w:b/>
          <w:sz w:val="22"/>
        </w:rPr>
        <w:t xml:space="preserve"> </w:t>
      </w:r>
      <w:r w:rsidR="00947CE8" w:rsidRPr="00947CE8">
        <w:rPr>
          <w:rFonts w:ascii="Arial" w:eastAsia="Calibri" w:hAnsi="Arial" w:cs="Arial"/>
          <w:b/>
          <w:color w:val="FF0000"/>
          <w:sz w:val="22"/>
        </w:rPr>
        <w:t>- modyfikacja</w:t>
      </w:r>
    </w:p>
    <w:p w:rsidR="00AE0290" w:rsidRPr="00AE0290" w:rsidRDefault="00AE0290" w:rsidP="00AE0290">
      <w:pPr>
        <w:spacing w:after="0" w:line="259" w:lineRule="auto"/>
        <w:ind w:left="0" w:right="1" w:firstLine="0"/>
        <w:jc w:val="center"/>
        <w:rPr>
          <w:rFonts w:ascii="Arial" w:eastAsia="Calibri" w:hAnsi="Arial" w:cs="Arial"/>
          <w:b/>
          <w:color w:val="FF0000"/>
          <w:sz w:val="22"/>
        </w:rPr>
      </w:pPr>
      <w:r w:rsidRPr="00AE0290">
        <w:rPr>
          <w:rFonts w:ascii="Arial" w:eastAsia="Calibri" w:hAnsi="Arial" w:cs="Arial"/>
          <w:b/>
          <w:color w:val="FF0000"/>
          <w:sz w:val="22"/>
        </w:rPr>
        <w:t>(Cz. I</w:t>
      </w:r>
      <w:r>
        <w:rPr>
          <w:rFonts w:ascii="Arial" w:eastAsia="Calibri" w:hAnsi="Arial" w:cs="Arial"/>
          <w:b/>
          <w:color w:val="FF0000"/>
          <w:sz w:val="22"/>
        </w:rPr>
        <w:t>I</w:t>
      </w:r>
      <w:r w:rsidRPr="00AE0290">
        <w:rPr>
          <w:rFonts w:ascii="Arial" w:eastAsia="Calibri" w:hAnsi="Arial" w:cs="Arial"/>
          <w:b/>
          <w:color w:val="FF0000"/>
          <w:sz w:val="22"/>
        </w:rPr>
        <w:t xml:space="preserve"> zamówienia)</w:t>
      </w:r>
      <w:bookmarkStart w:id="0" w:name="_GoBack"/>
      <w:bookmarkEnd w:id="0"/>
    </w:p>
    <w:p w:rsidR="00AE0290" w:rsidRDefault="00AE0290">
      <w:pPr>
        <w:spacing w:after="251"/>
        <w:ind w:left="-15" w:firstLine="0"/>
      </w:pPr>
    </w:p>
    <w:p w:rsidR="00FB4B52" w:rsidRPr="00AE0290" w:rsidRDefault="007852A8">
      <w:pPr>
        <w:spacing w:after="251"/>
        <w:ind w:left="-15" w:firstLine="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Przedmiotem zamówienia jest wykonanie przez Wykonawcę projektu technicznego wdrożenia, dostawa, instalacja, konfiguracja i uruchomienie systemu klasy NAC (Network Access Control) przeznaczonego do zarządzania dostępem do sieci przewodowej </w:t>
      </w:r>
      <w:r w:rsidR="00AE0290">
        <w:rPr>
          <w:rFonts w:ascii="Arial" w:hAnsi="Arial" w:cs="Arial"/>
          <w:sz w:val="22"/>
        </w:rPr>
        <w:br/>
      </w:r>
      <w:r w:rsidRPr="00AE0290">
        <w:rPr>
          <w:rFonts w:ascii="Arial" w:hAnsi="Arial" w:cs="Arial"/>
          <w:sz w:val="22"/>
        </w:rPr>
        <w:t xml:space="preserve">i bezprzewodowej w środowisku Zamawiającego. Środowisko </w:t>
      </w:r>
      <w:proofErr w:type="spellStart"/>
      <w:r w:rsidRPr="00AE0290">
        <w:rPr>
          <w:rFonts w:ascii="Arial" w:hAnsi="Arial" w:cs="Arial"/>
          <w:sz w:val="22"/>
        </w:rPr>
        <w:t>wirtualizacyjne</w:t>
      </w:r>
      <w:proofErr w:type="spellEnd"/>
      <w:r w:rsidRPr="00AE0290">
        <w:rPr>
          <w:rFonts w:ascii="Arial" w:hAnsi="Arial" w:cs="Arial"/>
          <w:sz w:val="22"/>
        </w:rPr>
        <w:t xml:space="preserve"> (serwery fizyczne oraz platforma </w:t>
      </w:r>
      <w:proofErr w:type="spellStart"/>
      <w:r w:rsidRPr="00AE0290">
        <w:rPr>
          <w:rFonts w:ascii="Arial" w:hAnsi="Arial" w:cs="Arial"/>
          <w:sz w:val="22"/>
        </w:rPr>
        <w:t>wirtualizacyjna</w:t>
      </w:r>
      <w:proofErr w:type="spellEnd"/>
      <w:r w:rsidRPr="00AE0290">
        <w:rPr>
          <w:rFonts w:ascii="Arial" w:hAnsi="Arial" w:cs="Arial"/>
          <w:sz w:val="22"/>
        </w:rPr>
        <w:t xml:space="preserve">) zostanie zapewnione przez Zamawiającego. Wykonawca otrzyma dostęp administracyjny do </w:t>
      </w:r>
      <w:proofErr w:type="spellStart"/>
      <w:r w:rsidRPr="00AE0290">
        <w:rPr>
          <w:rFonts w:ascii="Arial" w:hAnsi="Arial" w:cs="Arial"/>
          <w:sz w:val="22"/>
        </w:rPr>
        <w:t>wirtualizatora</w:t>
      </w:r>
      <w:proofErr w:type="spellEnd"/>
      <w:r w:rsidRPr="00AE0290">
        <w:rPr>
          <w:rFonts w:ascii="Arial" w:hAnsi="Arial" w:cs="Arial"/>
          <w:sz w:val="22"/>
        </w:rPr>
        <w:t xml:space="preserve"> w celu instalacji systemu. System musi być wdrożony w architekturze rozproszonej, z zapewnieniem wysokiej dostępności (HA) oraz integracją z infrastrukturą Zamawiającego. Rozwiązanie powinno posiadać funkcjonalności systemów klasy </w:t>
      </w:r>
      <w:proofErr w:type="spellStart"/>
      <w:r w:rsidRPr="00AE0290">
        <w:rPr>
          <w:rFonts w:ascii="Arial" w:hAnsi="Arial" w:cs="Arial"/>
          <w:sz w:val="22"/>
        </w:rPr>
        <w:t>PacketFence</w:t>
      </w:r>
      <w:proofErr w:type="spellEnd"/>
      <w:r w:rsidRPr="00AE0290">
        <w:rPr>
          <w:rFonts w:ascii="Arial" w:hAnsi="Arial" w:cs="Arial"/>
          <w:sz w:val="22"/>
        </w:rPr>
        <w:t xml:space="preserve"> lub równoważnych. Minimalne wymagania funkcjonalne:</w:t>
      </w:r>
    </w:p>
    <w:p w:rsidR="00FB4B52" w:rsidRPr="00AE0290" w:rsidRDefault="007852A8">
      <w:pPr>
        <w:numPr>
          <w:ilvl w:val="0"/>
          <w:numId w:val="1"/>
        </w:numPr>
        <w:spacing w:after="42" w:line="278" w:lineRule="auto"/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Obsługa kontroli dostępu do sieci LAN/WLAN dla użytkowników wewnętrznych, gości oraz urządzeń niezarządzanych (BYOD, </w:t>
      </w:r>
      <w:proofErr w:type="spellStart"/>
      <w:r w:rsidRPr="00AE0290">
        <w:rPr>
          <w:rFonts w:ascii="Arial" w:hAnsi="Arial" w:cs="Arial"/>
          <w:sz w:val="22"/>
        </w:rPr>
        <w:t>IoT</w:t>
      </w:r>
      <w:proofErr w:type="spellEnd"/>
      <w:r w:rsidRPr="00AE0290">
        <w:rPr>
          <w:rFonts w:ascii="Arial" w:hAnsi="Arial" w:cs="Arial"/>
          <w:sz w:val="22"/>
        </w:rPr>
        <w:t>).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Obsługa wielu lokalizacji fizycznych (</w:t>
      </w:r>
      <w:proofErr w:type="spellStart"/>
      <w:r w:rsidRPr="00AE0290">
        <w:rPr>
          <w:rFonts w:ascii="Arial" w:hAnsi="Arial" w:cs="Arial"/>
          <w:sz w:val="22"/>
        </w:rPr>
        <w:t>multi-site</w:t>
      </w:r>
      <w:proofErr w:type="spellEnd"/>
      <w:r w:rsidRPr="00AE0290">
        <w:rPr>
          <w:rFonts w:ascii="Arial" w:hAnsi="Arial" w:cs="Arial"/>
          <w:sz w:val="22"/>
        </w:rPr>
        <w:t>), z centralnym zarządzaniem politykami i lokalną egzekucją dostępu.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Wysoka dostępność usług (HA) w każdej lokalizacji – zapewnienie działania systemu również w przypadku utraty łączności z lokalizacją centralną.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Obsługa uwierzytelniania 802.1X (EAP-PEAP, EAP-TLS) oraz MAC </w:t>
      </w:r>
      <w:proofErr w:type="spellStart"/>
      <w:r w:rsidRPr="00AE0290">
        <w:rPr>
          <w:rFonts w:ascii="Arial" w:hAnsi="Arial" w:cs="Arial"/>
          <w:sz w:val="22"/>
        </w:rPr>
        <w:t>Authentication</w:t>
      </w:r>
      <w:proofErr w:type="spellEnd"/>
      <w:r w:rsidRPr="00AE0290">
        <w:rPr>
          <w:rFonts w:ascii="Arial" w:hAnsi="Arial" w:cs="Arial"/>
          <w:sz w:val="22"/>
        </w:rPr>
        <w:t xml:space="preserve"> Bypass (MAB).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Rejestracja użytkowników i urządzeń za pomocą </w:t>
      </w:r>
      <w:proofErr w:type="spellStart"/>
      <w:r w:rsidRPr="00AE0290">
        <w:rPr>
          <w:rFonts w:ascii="Arial" w:hAnsi="Arial" w:cs="Arial"/>
          <w:sz w:val="22"/>
        </w:rPr>
        <w:t>Captive</w:t>
      </w:r>
      <w:proofErr w:type="spellEnd"/>
      <w:r w:rsidRPr="00AE0290">
        <w:rPr>
          <w:rFonts w:ascii="Arial" w:hAnsi="Arial" w:cs="Arial"/>
          <w:sz w:val="22"/>
        </w:rPr>
        <w:t xml:space="preserve"> Portalu z funkcją potwierdzeń mail/SMS.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Możliwość dynamicznego przypisywania VLAN do portów/przełączników lub punktów dostępowych na podstawie polityk dostępu.</w:t>
      </w:r>
    </w:p>
    <w:p w:rsidR="00FB4B52" w:rsidRPr="00AE0290" w:rsidRDefault="007852A8">
      <w:pPr>
        <w:numPr>
          <w:ilvl w:val="0"/>
          <w:numId w:val="1"/>
        </w:numPr>
        <w:spacing w:after="16"/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Integracja z katalogiem użytkowników (np. Microsoft Active Directory lub LDAP).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Integracja z infrastrukturą klucza publicznego (PKI), w szczególności: obsługa certyfikatów X.509, weryfikacja certyfikatów przez CRL i/lub OCSP, integracja </w:t>
      </w:r>
      <w:r w:rsidR="006B1F79">
        <w:rPr>
          <w:rFonts w:ascii="Arial" w:hAnsi="Arial" w:cs="Arial"/>
          <w:sz w:val="22"/>
        </w:rPr>
        <w:br/>
      </w:r>
      <w:r w:rsidRPr="00AE0290">
        <w:rPr>
          <w:rFonts w:ascii="Arial" w:hAnsi="Arial" w:cs="Arial"/>
          <w:sz w:val="22"/>
        </w:rPr>
        <w:t>z zewnętrznym lub lokalnym CA.</w:t>
      </w:r>
    </w:p>
    <w:p w:rsidR="00FB4B52" w:rsidRPr="00AE0290" w:rsidRDefault="007852A8">
      <w:pPr>
        <w:numPr>
          <w:ilvl w:val="0"/>
          <w:numId w:val="1"/>
        </w:numPr>
        <w:spacing w:after="16"/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Obsługa dzienników dostępu i raportowania zgodności z politykami bezpieczeństwa.</w:t>
      </w:r>
    </w:p>
    <w:p w:rsidR="00FB4B52" w:rsidRDefault="007852A8">
      <w:pPr>
        <w:numPr>
          <w:ilvl w:val="0"/>
          <w:numId w:val="1"/>
        </w:numPr>
        <w:spacing w:after="204"/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Centralny, webowy interfejs zarządzający dostępny przez HTTPS, z autoryzacją </w:t>
      </w:r>
      <w:r w:rsidR="006B1F79">
        <w:rPr>
          <w:rFonts w:ascii="Arial" w:hAnsi="Arial" w:cs="Arial"/>
          <w:sz w:val="22"/>
        </w:rPr>
        <w:br/>
      </w:r>
      <w:r w:rsidRPr="00AE0290">
        <w:rPr>
          <w:rFonts w:ascii="Arial" w:hAnsi="Arial" w:cs="Arial"/>
          <w:sz w:val="22"/>
        </w:rPr>
        <w:t>i rolami użytkowników.</w:t>
      </w:r>
    </w:p>
    <w:p w:rsidR="00AE0290" w:rsidRDefault="00AE0290" w:rsidP="00AE0290">
      <w:pPr>
        <w:spacing w:after="204"/>
        <w:ind w:left="360" w:firstLine="0"/>
        <w:rPr>
          <w:rFonts w:ascii="Arial" w:hAnsi="Arial" w:cs="Arial"/>
          <w:sz w:val="22"/>
        </w:rPr>
      </w:pPr>
    </w:p>
    <w:p w:rsidR="00AE0290" w:rsidRDefault="00AE0290" w:rsidP="00AE0290">
      <w:pPr>
        <w:spacing w:after="204"/>
        <w:ind w:left="360" w:firstLine="0"/>
        <w:rPr>
          <w:rFonts w:ascii="Arial" w:hAnsi="Arial" w:cs="Arial"/>
          <w:sz w:val="22"/>
        </w:rPr>
      </w:pPr>
    </w:p>
    <w:p w:rsidR="00FB4B52" w:rsidRPr="00AE0290" w:rsidRDefault="007852A8">
      <w:pPr>
        <w:spacing w:after="0"/>
        <w:ind w:left="-15" w:firstLine="0"/>
        <w:rPr>
          <w:rFonts w:ascii="Arial" w:hAnsi="Arial" w:cs="Arial"/>
          <w:b/>
          <w:sz w:val="22"/>
        </w:rPr>
      </w:pPr>
      <w:r w:rsidRPr="00AE0290">
        <w:rPr>
          <w:rFonts w:ascii="Arial" w:hAnsi="Arial" w:cs="Arial"/>
          <w:b/>
          <w:sz w:val="22"/>
        </w:rPr>
        <w:lastRenderedPageBreak/>
        <w:t xml:space="preserve">Minimalne wymagania techniczne i </w:t>
      </w:r>
      <w:r w:rsidR="00AE0290" w:rsidRPr="00AE0290">
        <w:rPr>
          <w:rFonts w:ascii="Arial" w:hAnsi="Arial" w:cs="Arial"/>
          <w:b/>
          <w:sz w:val="22"/>
        </w:rPr>
        <w:t>funkcjonalne</w:t>
      </w:r>
      <w:r w:rsidRPr="00AE0290">
        <w:rPr>
          <w:rFonts w:ascii="Arial" w:hAnsi="Arial" w:cs="Arial"/>
          <w:b/>
          <w:sz w:val="22"/>
        </w:rPr>
        <w:t>:</w:t>
      </w:r>
    </w:p>
    <w:tbl>
      <w:tblPr>
        <w:tblStyle w:val="TableGrid"/>
        <w:tblW w:w="8630" w:type="dxa"/>
        <w:tblInd w:w="5" w:type="dxa"/>
        <w:tblCellMar>
          <w:top w:w="62" w:type="dxa"/>
          <w:right w:w="48" w:type="dxa"/>
        </w:tblCellMar>
        <w:tblLook w:val="04A0" w:firstRow="1" w:lastRow="0" w:firstColumn="1" w:lastColumn="0" w:noHBand="0" w:noVBand="1"/>
      </w:tblPr>
      <w:tblGrid>
        <w:gridCol w:w="516"/>
        <w:gridCol w:w="1693"/>
        <w:gridCol w:w="175"/>
        <w:gridCol w:w="4274"/>
        <w:gridCol w:w="1972"/>
      </w:tblGrid>
      <w:tr w:rsidR="00FB4B52" w:rsidRPr="00AE0290">
        <w:trPr>
          <w:trHeight w:val="83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B52" w:rsidRPr="00AE0290" w:rsidRDefault="007852A8">
            <w:pPr>
              <w:spacing w:after="0" w:line="259" w:lineRule="auto"/>
              <w:ind w:left="108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Lp</w:t>
            </w:r>
            <w:r w:rsidR="00AE0290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4B52" w:rsidRPr="00AE0290" w:rsidRDefault="007852A8" w:rsidP="00AE0290">
            <w:pPr>
              <w:spacing w:after="0" w:line="259" w:lineRule="auto"/>
              <w:ind w:left="108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 xml:space="preserve">Wymaganie techniczne </w:t>
            </w:r>
            <w:r w:rsidR="00AE0290">
              <w:rPr>
                <w:rFonts w:ascii="Arial" w:hAnsi="Arial" w:cs="Arial"/>
                <w:sz w:val="22"/>
              </w:rPr>
              <w:br/>
              <w:t xml:space="preserve">i </w:t>
            </w:r>
            <w:r w:rsidRPr="00AE0290">
              <w:rPr>
                <w:rFonts w:ascii="Arial" w:hAnsi="Arial" w:cs="Arial"/>
                <w:sz w:val="22"/>
              </w:rPr>
              <w:t>funkcjonalne</w:t>
            </w:r>
          </w:p>
        </w:tc>
        <w:tc>
          <w:tcPr>
            <w:tcW w:w="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4B52" w:rsidRPr="00AE0290" w:rsidRDefault="00FB4B52">
            <w:pPr>
              <w:spacing w:after="0" w:line="259" w:lineRule="auto"/>
              <w:ind w:left="0" w:firstLine="0"/>
              <w:rPr>
                <w:rFonts w:ascii="Arial" w:hAnsi="Arial" w:cs="Arial"/>
                <w:sz w:val="22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B52" w:rsidRPr="00AE0290" w:rsidRDefault="007852A8" w:rsidP="00AE0290">
            <w:pPr>
              <w:spacing w:after="0" w:line="259" w:lineRule="auto"/>
              <w:ind w:left="108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Wartość minimalna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B52" w:rsidRPr="00791D36" w:rsidRDefault="007852A8" w:rsidP="00AE0290">
            <w:pPr>
              <w:tabs>
                <w:tab w:val="right" w:pos="1924"/>
              </w:tabs>
              <w:spacing w:after="0" w:line="259" w:lineRule="auto"/>
              <w:ind w:left="0" w:firstLine="0"/>
              <w:jc w:val="center"/>
              <w:rPr>
                <w:rFonts w:ascii="Arial" w:hAnsi="Arial" w:cs="Arial"/>
                <w:color w:val="FF0000"/>
                <w:sz w:val="22"/>
              </w:rPr>
            </w:pPr>
            <w:r w:rsidRPr="00791D36">
              <w:rPr>
                <w:rFonts w:ascii="Arial" w:hAnsi="Arial" w:cs="Arial"/>
                <w:color w:val="FF0000"/>
                <w:sz w:val="22"/>
              </w:rPr>
              <w:t>Nie potrzebne</w:t>
            </w:r>
          </w:p>
          <w:p w:rsidR="00FB4B52" w:rsidRPr="00AE0290" w:rsidRDefault="007852A8" w:rsidP="00AE0290">
            <w:pPr>
              <w:spacing w:after="0" w:line="259" w:lineRule="auto"/>
              <w:ind w:left="108" w:firstLine="0"/>
              <w:jc w:val="center"/>
              <w:rPr>
                <w:rFonts w:ascii="Arial" w:hAnsi="Arial" w:cs="Arial"/>
                <w:sz w:val="22"/>
              </w:rPr>
            </w:pPr>
            <w:r w:rsidRPr="00791D36">
              <w:rPr>
                <w:rFonts w:ascii="Arial" w:hAnsi="Arial" w:cs="Arial"/>
                <w:color w:val="FF0000"/>
                <w:sz w:val="22"/>
              </w:rPr>
              <w:t>skreślić*</w:t>
            </w:r>
          </w:p>
        </w:tc>
      </w:tr>
      <w:tr w:rsidR="007F2E11" w:rsidRPr="00AE0290" w:rsidTr="007E7493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>
            <w:pPr>
              <w:spacing w:after="0" w:line="259" w:lineRule="auto"/>
              <w:ind w:left="108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1.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Architektura</w:t>
            </w:r>
          </w:p>
        </w:tc>
        <w:tc>
          <w:tcPr>
            <w:tcW w:w="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108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Rozproszona (</w:t>
            </w:r>
            <w:proofErr w:type="spellStart"/>
            <w:r w:rsidRPr="00AE0290">
              <w:rPr>
                <w:rFonts w:ascii="Arial" w:hAnsi="Arial" w:cs="Arial"/>
                <w:sz w:val="22"/>
              </w:rPr>
              <w:t>multi-site</w:t>
            </w:r>
            <w:proofErr w:type="spellEnd"/>
            <w:r w:rsidRPr="00AE0290">
              <w:rPr>
                <w:rFonts w:ascii="Arial" w:hAnsi="Arial" w:cs="Arial"/>
                <w:sz w:val="22"/>
              </w:rPr>
              <w:t>) z lokalną redundancją</w:t>
            </w:r>
          </w:p>
        </w:tc>
        <w:tc>
          <w:tcPr>
            <w:tcW w:w="1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5" w:line="259" w:lineRule="auto"/>
              <w:ind w:left="108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Spełnia/</w:t>
            </w:r>
          </w:p>
          <w:p w:rsidR="007F2E11" w:rsidRPr="00AE0290" w:rsidRDefault="007F2E11" w:rsidP="00AE0290">
            <w:pPr>
              <w:tabs>
                <w:tab w:val="right" w:pos="1924"/>
              </w:tabs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Nie spełnia*</w:t>
            </w:r>
          </w:p>
        </w:tc>
      </w:tr>
      <w:tr w:rsidR="007F2E11" w:rsidRPr="00AE0290" w:rsidTr="007E7493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>
            <w:pPr>
              <w:spacing w:after="0" w:line="259" w:lineRule="auto"/>
              <w:ind w:left="108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2.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E11" w:rsidRPr="00AE0290" w:rsidRDefault="007F2E11" w:rsidP="00AE0290">
            <w:pPr>
              <w:spacing w:after="0" w:line="259" w:lineRule="auto"/>
              <w:ind w:left="43" w:hanging="43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Wysoka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AE0290">
              <w:rPr>
                <w:rFonts w:ascii="Arial" w:hAnsi="Arial" w:cs="Arial"/>
                <w:sz w:val="22"/>
              </w:rPr>
              <w:t>dostępność</w:t>
            </w:r>
          </w:p>
        </w:tc>
        <w:tc>
          <w:tcPr>
            <w:tcW w:w="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108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HA w wielu lokalizacjach, odporność na awarie łącza z centralą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16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>
            <w:pPr>
              <w:spacing w:after="0" w:line="259" w:lineRule="auto"/>
              <w:ind w:left="108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3.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E11" w:rsidRPr="00AE0290" w:rsidRDefault="007F2E11" w:rsidP="00AE0290">
            <w:pPr>
              <w:spacing w:after="0" w:line="259" w:lineRule="auto"/>
              <w:ind w:left="43" w:hanging="43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Obsługiwane protokoły</w:t>
            </w:r>
          </w:p>
        </w:tc>
        <w:tc>
          <w:tcPr>
            <w:tcW w:w="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108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 xml:space="preserve">802.1X (EAP-PEAP, EAP-TLS), MAB, </w:t>
            </w:r>
          </w:p>
          <w:p w:rsidR="007F2E11" w:rsidRPr="00AE0290" w:rsidRDefault="007F2E11" w:rsidP="00AE0290">
            <w:pPr>
              <w:spacing w:after="0" w:line="259" w:lineRule="auto"/>
              <w:ind w:left="108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RADIUS, SNMP, HTTPS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16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4.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Obsługa VLAN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 </w:t>
            </w:r>
            <w:r w:rsidRPr="00AE0290">
              <w:rPr>
                <w:rFonts w:ascii="Arial" w:hAnsi="Arial" w:cs="Arial"/>
                <w:sz w:val="22"/>
              </w:rPr>
              <w:t>Dynamiczne przypisywanie VLAN (</w:t>
            </w:r>
            <w:proofErr w:type="spellStart"/>
            <w:r w:rsidRPr="00AE0290">
              <w:rPr>
                <w:rFonts w:ascii="Arial" w:hAnsi="Arial" w:cs="Arial"/>
                <w:sz w:val="22"/>
              </w:rPr>
              <w:t>CoA</w:t>
            </w:r>
            <w:proofErr w:type="spellEnd"/>
            <w:r w:rsidRPr="00AE0290">
              <w:rPr>
                <w:rFonts w:ascii="Arial" w:hAnsi="Arial" w:cs="Arial"/>
                <w:sz w:val="22"/>
              </w:rPr>
              <w:t xml:space="preserve">) </w:t>
            </w:r>
            <w:r>
              <w:rPr>
                <w:rFonts w:ascii="Arial" w:hAnsi="Arial" w:cs="Arial"/>
                <w:sz w:val="22"/>
              </w:rPr>
              <w:br/>
              <w:t xml:space="preserve">  </w:t>
            </w:r>
            <w:r w:rsidRPr="00AE0290">
              <w:rPr>
                <w:rFonts w:ascii="Arial" w:hAnsi="Arial" w:cs="Arial"/>
                <w:sz w:val="22"/>
              </w:rPr>
              <w:t xml:space="preserve">na przełącznikach i </w:t>
            </w:r>
            <w:proofErr w:type="spellStart"/>
            <w:r w:rsidRPr="00AE0290">
              <w:rPr>
                <w:rFonts w:ascii="Arial" w:hAnsi="Arial" w:cs="Arial"/>
                <w:sz w:val="22"/>
              </w:rPr>
              <w:t>WiFi</w:t>
            </w:r>
            <w:proofErr w:type="spellEnd"/>
          </w:p>
        </w:tc>
        <w:tc>
          <w:tcPr>
            <w:tcW w:w="1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24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5.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proofErr w:type="spellStart"/>
            <w:r w:rsidRPr="00AE0290">
              <w:rPr>
                <w:rFonts w:ascii="Arial" w:hAnsi="Arial" w:cs="Arial"/>
                <w:sz w:val="22"/>
              </w:rPr>
              <w:t>Captive</w:t>
            </w:r>
            <w:proofErr w:type="spellEnd"/>
            <w:r w:rsidRPr="00AE0290">
              <w:rPr>
                <w:rFonts w:ascii="Arial" w:hAnsi="Arial" w:cs="Arial"/>
                <w:sz w:val="22"/>
              </w:rPr>
              <w:t xml:space="preserve"> Portal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AE0290">
              <w:rPr>
                <w:rFonts w:ascii="Arial" w:hAnsi="Arial" w:cs="Arial"/>
                <w:sz w:val="22"/>
              </w:rPr>
              <w:t>Z możliwością uwierzytelniania, rejestracji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83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6.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tabs>
                <w:tab w:val="right" w:pos="1820"/>
              </w:tabs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 xml:space="preserve">Integracja </w:t>
            </w:r>
            <w:r w:rsidRPr="00AE0290">
              <w:rPr>
                <w:rFonts w:ascii="Arial" w:hAnsi="Arial" w:cs="Arial"/>
                <w:sz w:val="22"/>
              </w:rPr>
              <w:tab/>
            </w:r>
            <w:r>
              <w:rPr>
                <w:rFonts w:ascii="Arial" w:hAnsi="Arial" w:cs="Arial"/>
                <w:sz w:val="22"/>
              </w:rPr>
              <w:br/>
            </w:r>
            <w:r w:rsidRPr="00AE0290">
              <w:rPr>
                <w:rFonts w:ascii="Arial" w:hAnsi="Arial" w:cs="Arial"/>
                <w:sz w:val="22"/>
              </w:rPr>
              <w:t xml:space="preserve">z Active Directory </w:t>
            </w:r>
          </w:p>
          <w:p w:rsidR="007F2E11" w:rsidRPr="00AE0290" w:rsidRDefault="007F2E11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/ LDAP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AE0290">
              <w:rPr>
                <w:rFonts w:ascii="Arial" w:hAnsi="Arial" w:cs="Arial"/>
                <w:sz w:val="22"/>
              </w:rPr>
              <w:t>Tak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83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7.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0" w:line="259" w:lineRule="auto"/>
              <w:ind w:left="0" w:right="60" w:firstLine="0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Integracja z PKI (CA lokalne / zewnętrzne)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AE0290">
              <w:rPr>
                <w:rFonts w:ascii="Arial" w:hAnsi="Arial" w:cs="Arial"/>
                <w:sz w:val="22"/>
              </w:rPr>
              <w:t xml:space="preserve">Tak, pełne wsparcie dla EAP-TLS, CRL, </w:t>
            </w:r>
            <w:r>
              <w:rPr>
                <w:rFonts w:ascii="Arial" w:hAnsi="Arial" w:cs="Arial"/>
                <w:sz w:val="22"/>
              </w:rPr>
              <w:br/>
              <w:t xml:space="preserve"> </w:t>
            </w:r>
            <w:r w:rsidRPr="00AE0290">
              <w:rPr>
                <w:rFonts w:ascii="Arial" w:hAnsi="Arial" w:cs="Arial"/>
                <w:sz w:val="22"/>
              </w:rPr>
              <w:t>OCSP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8.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Sprzęt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tabs>
                <w:tab w:val="center" w:pos="1877"/>
                <w:tab w:val="right" w:pos="4226"/>
              </w:tabs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AE0290">
              <w:rPr>
                <w:rFonts w:ascii="Arial" w:hAnsi="Arial" w:cs="Arial"/>
                <w:sz w:val="22"/>
              </w:rPr>
              <w:t xml:space="preserve">Instalacja na </w:t>
            </w:r>
            <w:r w:rsidRPr="00AE0290">
              <w:rPr>
                <w:rFonts w:ascii="Arial" w:hAnsi="Arial" w:cs="Arial"/>
                <w:sz w:val="22"/>
              </w:rPr>
              <w:tab/>
            </w:r>
            <w:proofErr w:type="spellStart"/>
            <w:r w:rsidRPr="00AE0290">
              <w:rPr>
                <w:rFonts w:ascii="Arial" w:hAnsi="Arial" w:cs="Arial"/>
                <w:sz w:val="22"/>
              </w:rPr>
              <w:t>wirtualizatorze</w:t>
            </w:r>
            <w:proofErr w:type="spellEnd"/>
            <w:r w:rsidRPr="00AE0290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br/>
              <w:t xml:space="preserve"> </w:t>
            </w:r>
            <w:r w:rsidRPr="00AE0290">
              <w:rPr>
                <w:rFonts w:ascii="Arial" w:hAnsi="Arial" w:cs="Arial"/>
                <w:sz w:val="22"/>
              </w:rPr>
              <w:t>Zamawiającego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9.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Zgodność sprzętowa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AE0290">
              <w:rPr>
                <w:rFonts w:ascii="Arial" w:hAnsi="Arial" w:cs="Arial"/>
                <w:sz w:val="22"/>
              </w:rPr>
              <w:t xml:space="preserve">Integracja z: kontrolerem </w:t>
            </w:r>
            <w:proofErr w:type="spellStart"/>
            <w:r w:rsidRPr="00AE0290">
              <w:rPr>
                <w:rFonts w:ascii="Arial" w:hAnsi="Arial" w:cs="Arial"/>
                <w:sz w:val="22"/>
              </w:rPr>
              <w:t>WiFi</w:t>
            </w:r>
            <w:proofErr w:type="spellEnd"/>
            <w:r w:rsidRPr="00AE0290">
              <w:rPr>
                <w:rFonts w:ascii="Arial" w:hAnsi="Arial" w:cs="Arial"/>
                <w:sz w:val="22"/>
              </w:rPr>
              <w:t xml:space="preserve"> Aruba, </w:t>
            </w:r>
            <w:r>
              <w:rPr>
                <w:rFonts w:ascii="Arial" w:hAnsi="Arial" w:cs="Arial"/>
                <w:sz w:val="22"/>
              </w:rPr>
              <w:br/>
              <w:t xml:space="preserve"> </w:t>
            </w:r>
            <w:r w:rsidRPr="00AE0290">
              <w:rPr>
                <w:rFonts w:ascii="Arial" w:hAnsi="Arial" w:cs="Arial"/>
                <w:sz w:val="22"/>
              </w:rPr>
              <w:t>przełącznikami Zamawiającego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10.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Interfejs zarządzania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AE0290">
              <w:rPr>
                <w:rFonts w:ascii="Arial" w:hAnsi="Arial" w:cs="Arial"/>
                <w:sz w:val="22"/>
              </w:rPr>
              <w:t xml:space="preserve">Webowy (HTTPS), z wielopoziomową </w:t>
            </w:r>
            <w:r>
              <w:rPr>
                <w:rFonts w:ascii="Arial" w:hAnsi="Arial" w:cs="Arial"/>
                <w:sz w:val="22"/>
              </w:rPr>
              <w:br/>
              <w:t xml:space="preserve"> </w:t>
            </w:r>
            <w:r w:rsidRPr="00AE0290">
              <w:rPr>
                <w:rFonts w:ascii="Arial" w:hAnsi="Arial" w:cs="Arial"/>
                <w:sz w:val="22"/>
              </w:rPr>
              <w:t>kontrolą dostępu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83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11.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Licencja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0" w:right="60"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AE0290">
              <w:rPr>
                <w:rFonts w:ascii="Arial" w:hAnsi="Arial" w:cs="Arial"/>
                <w:sz w:val="22"/>
              </w:rPr>
              <w:t xml:space="preserve">Oprogramowanie typu open </w:t>
            </w:r>
            <w:proofErr w:type="spellStart"/>
            <w:r w:rsidRPr="00AE0290">
              <w:rPr>
                <w:rFonts w:ascii="Arial" w:hAnsi="Arial" w:cs="Arial"/>
                <w:sz w:val="22"/>
              </w:rPr>
              <w:t>source</w:t>
            </w:r>
            <w:proofErr w:type="spellEnd"/>
            <w:r w:rsidRPr="00AE0290">
              <w:rPr>
                <w:rFonts w:ascii="Arial" w:hAnsi="Arial" w:cs="Arial"/>
                <w:sz w:val="22"/>
              </w:rPr>
              <w:t xml:space="preserve"> lub </w:t>
            </w:r>
            <w:r>
              <w:rPr>
                <w:rFonts w:ascii="Arial" w:hAnsi="Arial" w:cs="Arial"/>
                <w:sz w:val="22"/>
              </w:rPr>
              <w:br/>
              <w:t xml:space="preserve"> </w:t>
            </w:r>
            <w:r w:rsidRPr="00AE0290">
              <w:rPr>
                <w:rFonts w:ascii="Arial" w:hAnsi="Arial" w:cs="Arial"/>
                <w:sz w:val="22"/>
              </w:rPr>
              <w:t xml:space="preserve">licencja komercyjna z wieczystym </w:t>
            </w:r>
            <w:r>
              <w:rPr>
                <w:rFonts w:ascii="Arial" w:hAnsi="Arial" w:cs="Arial"/>
                <w:sz w:val="22"/>
              </w:rPr>
              <w:br/>
              <w:t xml:space="preserve"> </w:t>
            </w:r>
            <w:r w:rsidRPr="00AE0290">
              <w:rPr>
                <w:rFonts w:ascii="Arial" w:hAnsi="Arial" w:cs="Arial"/>
                <w:sz w:val="22"/>
              </w:rPr>
              <w:t>bezpłatnym dostępem do aktualizacji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:rsidR="00AE0290" w:rsidRDefault="00AE0290">
      <w:pPr>
        <w:spacing w:after="254"/>
        <w:ind w:left="-15" w:firstLine="0"/>
        <w:rPr>
          <w:rFonts w:ascii="Arial" w:hAnsi="Arial" w:cs="Arial"/>
          <w:sz w:val="22"/>
        </w:rPr>
      </w:pPr>
    </w:p>
    <w:p w:rsidR="00FB4B52" w:rsidRPr="00AE0290" w:rsidRDefault="007852A8">
      <w:pPr>
        <w:spacing w:after="254"/>
        <w:ind w:left="-15" w:firstLine="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Zakres realizacji: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Instalacja i pełna konfiguracja systemu klasy NAC (</w:t>
      </w:r>
      <w:proofErr w:type="spellStart"/>
      <w:r w:rsidRPr="00AE0290">
        <w:rPr>
          <w:rFonts w:ascii="Arial" w:hAnsi="Arial" w:cs="Arial"/>
          <w:sz w:val="22"/>
        </w:rPr>
        <w:t>PacketFence</w:t>
      </w:r>
      <w:proofErr w:type="spellEnd"/>
      <w:r w:rsidRPr="00AE0290">
        <w:rPr>
          <w:rFonts w:ascii="Arial" w:hAnsi="Arial" w:cs="Arial"/>
          <w:sz w:val="22"/>
        </w:rPr>
        <w:t xml:space="preserve"> lub równoważny) </w:t>
      </w:r>
      <w:r w:rsidR="006B1F79">
        <w:rPr>
          <w:rFonts w:ascii="Arial" w:hAnsi="Arial" w:cs="Arial"/>
          <w:sz w:val="22"/>
        </w:rPr>
        <w:br/>
      </w:r>
      <w:r w:rsidRPr="00AE0290">
        <w:rPr>
          <w:rFonts w:ascii="Arial" w:hAnsi="Arial" w:cs="Arial"/>
          <w:sz w:val="22"/>
        </w:rPr>
        <w:t>na środowisku wirtualnym Zamawiającego.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Integracja z kontrolerem </w:t>
      </w:r>
      <w:proofErr w:type="spellStart"/>
      <w:r w:rsidRPr="00AE0290">
        <w:rPr>
          <w:rFonts w:ascii="Arial" w:hAnsi="Arial" w:cs="Arial"/>
          <w:sz w:val="22"/>
        </w:rPr>
        <w:t>WiFi</w:t>
      </w:r>
      <w:proofErr w:type="spellEnd"/>
      <w:r w:rsidRPr="00AE0290">
        <w:rPr>
          <w:rFonts w:ascii="Arial" w:hAnsi="Arial" w:cs="Arial"/>
          <w:sz w:val="22"/>
        </w:rPr>
        <w:t xml:space="preserve"> Aruba (ArubaMC-VA,8.6.0.18) oraz przełącznikami – obecnie zamawiający posiada wyłącznie przełączniki </w:t>
      </w:r>
      <w:proofErr w:type="spellStart"/>
      <w:r w:rsidRPr="00AE0290">
        <w:rPr>
          <w:rFonts w:ascii="Arial" w:hAnsi="Arial" w:cs="Arial"/>
          <w:sz w:val="22"/>
        </w:rPr>
        <w:t>zarządzalne</w:t>
      </w:r>
      <w:proofErr w:type="spellEnd"/>
      <w:r w:rsidRPr="00AE0290">
        <w:rPr>
          <w:rFonts w:ascii="Arial" w:hAnsi="Arial" w:cs="Arial"/>
          <w:sz w:val="22"/>
        </w:rPr>
        <w:t xml:space="preserve"> marki Cisco lub HP (Aruba) warstwy 2 lub 3.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Wdrożenie integracji z usługą katalogową (AD/LDAP) oraz infrastrukturą PKI Zamawiającego. Konfiguracja </w:t>
      </w:r>
      <w:proofErr w:type="spellStart"/>
      <w:r w:rsidRPr="00AE0290">
        <w:rPr>
          <w:rFonts w:ascii="Arial" w:hAnsi="Arial" w:cs="Arial"/>
          <w:sz w:val="22"/>
        </w:rPr>
        <w:t>supplicanta</w:t>
      </w:r>
      <w:proofErr w:type="spellEnd"/>
      <w:r w:rsidRPr="00AE0290">
        <w:rPr>
          <w:rFonts w:ascii="Arial" w:hAnsi="Arial" w:cs="Arial"/>
          <w:sz w:val="22"/>
        </w:rPr>
        <w:t xml:space="preserve"> 802.1X na urządzeniach końcowych </w:t>
      </w:r>
      <w:r w:rsidRPr="00AE0290">
        <w:rPr>
          <w:rFonts w:ascii="Arial" w:hAnsi="Arial" w:cs="Arial"/>
          <w:sz w:val="22"/>
        </w:rPr>
        <w:lastRenderedPageBreak/>
        <w:t>przyłączonych do domeny Active Directory, w tym przygotowanie i wdrożenie polityk grupowych (GPO) automatyzujących konfigurację uwierzytelniania sieciowego.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Skonfigurowanie polityk dostępu, ról użytkowników, VLAN, </w:t>
      </w:r>
      <w:proofErr w:type="spellStart"/>
      <w:r w:rsidRPr="00AE0290">
        <w:rPr>
          <w:rFonts w:ascii="Arial" w:hAnsi="Arial" w:cs="Arial"/>
          <w:sz w:val="22"/>
        </w:rPr>
        <w:t>Captive</w:t>
      </w:r>
      <w:proofErr w:type="spellEnd"/>
      <w:r w:rsidRPr="00AE0290">
        <w:rPr>
          <w:rFonts w:ascii="Arial" w:hAnsi="Arial" w:cs="Arial"/>
          <w:sz w:val="22"/>
        </w:rPr>
        <w:t xml:space="preserve"> Portalu oraz inspekcji urządzeń.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W ramach wdrożenia Wykonawca skonfiguruje autoryzację urządzeń infrastrukturalnych Zamawiającego w oparciu o protokół 802.1X z wykorzystaniem metody EAP-TLS dla telefonów IP marki Cisco tj. konfiguracja uwierzytelniania 802.1X z wykorzystaniem certyfikatu urządzenia (EAP-TLS), punkty dostępowe </w:t>
      </w:r>
      <w:proofErr w:type="spellStart"/>
      <w:r w:rsidRPr="00AE0290">
        <w:rPr>
          <w:rFonts w:ascii="Arial" w:hAnsi="Arial" w:cs="Arial"/>
          <w:sz w:val="22"/>
        </w:rPr>
        <w:t>WiFi</w:t>
      </w:r>
      <w:proofErr w:type="spellEnd"/>
      <w:r w:rsidRPr="00AE0290">
        <w:rPr>
          <w:rFonts w:ascii="Arial" w:hAnsi="Arial" w:cs="Arial"/>
          <w:sz w:val="22"/>
        </w:rPr>
        <w:t xml:space="preserve"> Aruba poprzez uwierzytelnianie po certyfikacie urządzenia (EAP-TLS), zgodne z polityką bezpieczeństwa Zamawiającego,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Wykonawca zapewni odpowiednią konfigurację NAC oraz współpracę z infrastrukturą PKI Zamawiającego, w tym proces wystawiania i instalacji certyfikatów X.509 dla urządzeń.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W ramach wdrożenia Wykonawca przeprowadzi analizę infrastruktury i wskaże urządzenia nieobsługujące uwierzytelniania 802.1X. Dla tych urządzeń zostanie zaproponowane alternatywne rozwiązanie kontroli dostępu, np. oparte na adresach MAC lub inne równoważne.</w:t>
      </w:r>
    </w:p>
    <w:p w:rsidR="00FB4B52" w:rsidRPr="00AE0290" w:rsidRDefault="007852A8">
      <w:pPr>
        <w:numPr>
          <w:ilvl w:val="0"/>
          <w:numId w:val="1"/>
        </w:numPr>
        <w:spacing w:after="16"/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Przeprowadzenie testów poprawności działania zgodnie ze scenariuszem </w:t>
      </w:r>
      <w:r w:rsidR="006B1F79">
        <w:rPr>
          <w:rFonts w:ascii="Arial" w:hAnsi="Arial" w:cs="Arial"/>
          <w:sz w:val="22"/>
        </w:rPr>
        <w:br/>
      </w:r>
      <w:r w:rsidRPr="00AE0290">
        <w:rPr>
          <w:rFonts w:ascii="Arial" w:hAnsi="Arial" w:cs="Arial"/>
          <w:sz w:val="22"/>
        </w:rPr>
        <w:t>z załącznika.</w:t>
      </w:r>
    </w:p>
    <w:p w:rsidR="00FB4B52" w:rsidRPr="00AE0290" w:rsidRDefault="007852A8">
      <w:pPr>
        <w:numPr>
          <w:ilvl w:val="0"/>
          <w:numId w:val="1"/>
        </w:numPr>
        <w:spacing w:after="16"/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Przeprowadzenie szkolenia 6 administratorów (min. 1 dzień).</w:t>
      </w:r>
    </w:p>
    <w:p w:rsidR="00FB4B52" w:rsidRPr="00AE0290" w:rsidRDefault="007852A8">
      <w:pPr>
        <w:numPr>
          <w:ilvl w:val="0"/>
          <w:numId w:val="1"/>
        </w:numPr>
        <w:spacing w:after="16"/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Przekazanie dokumentacji technicznej i powdrożeniowej.</w:t>
      </w:r>
    </w:p>
    <w:p w:rsidR="00FB4B52" w:rsidRPr="007F2E11" w:rsidRDefault="007852A8" w:rsidP="007F2E11">
      <w:pPr>
        <w:numPr>
          <w:ilvl w:val="0"/>
          <w:numId w:val="1"/>
        </w:numPr>
        <w:spacing w:after="42" w:line="278" w:lineRule="auto"/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Wykonawca zobowiązany jest po wdrożeniu do przedłożenia oświadczenia, </w:t>
      </w:r>
      <w:r w:rsidR="006B1F79">
        <w:rPr>
          <w:rFonts w:ascii="Arial" w:hAnsi="Arial" w:cs="Arial"/>
          <w:sz w:val="22"/>
        </w:rPr>
        <w:br/>
      </w:r>
      <w:r w:rsidRPr="00AE0290">
        <w:rPr>
          <w:rFonts w:ascii="Arial" w:hAnsi="Arial" w:cs="Arial"/>
          <w:sz w:val="22"/>
        </w:rPr>
        <w:t xml:space="preserve">że wdrożony system umożliwia realizację polityk bezpieczeństwa zgodnych z NIS2, </w:t>
      </w:r>
      <w:r w:rsidR="006B1F79">
        <w:rPr>
          <w:rFonts w:ascii="Arial" w:hAnsi="Arial" w:cs="Arial"/>
          <w:sz w:val="22"/>
        </w:rPr>
        <w:br/>
      </w:r>
      <w:r w:rsidRPr="007F2E11">
        <w:rPr>
          <w:rFonts w:ascii="Arial" w:hAnsi="Arial" w:cs="Arial"/>
          <w:sz w:val="22"/>
        </w:rPr>
        <w:t>w tym przez dostarczenie odpowiednich konfiguracji oraz dokumentacji wspierającej ocenę zgodności, gwarantujące możliwie najwyższy poziom bezpieczeństwa.</w:t>
      </w:r>
    </w:p>
    <w:p w:rsidR="007F2E11" w:rsidRPr="007F2E11" w:rsidRDefault="007F2E11" w:rsidP="007F2E11">
      <w:pPr>
        <w:numPr>
          <w:ilvl w:val="0"/>
          <w:numId w:val="1"/>
        </w:numPr>
        <w:spacing w:after="42"/>
        <w:ind w:hanging="360"/>
        <w:rPr>
          <w:rFonts w:ascii="Arial" w:hAnsi="Arial" w:cs="Arial"/>
          <w:sz w:val="22"/>
        </w:rPr>
      </w:pPr>
      <w:r w:rsidRPr="007F2E11">
        <w:rPr>
          <w:rFonts w:ascii="Arial" w:hAnsi="Arial" w:cs="Arial"/>
          <w:sz w:val="22"/>
        </w:rPr>
        <w:t xml:space="preserve">Wykonawca zapewni </w:t>
      </w:r>
      <w:r w:rsidRPr="005C52B0">
        <w:rPr>
          <w:rFonts w:ascii="Arial" w:hAnsi="Arial" w:cs="Arial"/>
          <w:strike/>
          <w:color w:val="FF0000"/>
          <w:sz w:val="22"/>
        </w:rPr>
        <w:t xml:space="preserve">podstawowy </w:t>
      </w:r>
      <w:r w:rsidRPr="007F2E11">
        <w:rPr>
          <w:rFonts w:ascii="Arial" w:hAnsi="Arial" w:cs="Arial"/>
          <w:sz w:val="22"/>
        </w:rPr>
        <w:t>okres wsparcia technicznego od dnia podpisania bezusterkowego, protokolarnego odbioru przedmiotu zamówienia do dnia</w:t>
      </w:r>
      <w:r w:rsidR="005C52B0">
        <w:rPr>
          <w:rFonts w:ascii="Arial" w:hAnsi="Arial" w:cs="Arial"/>
          <w:sz w:val="22"/>
        </w:rPr>
        <w:t xml:space="preserve"> ……………</w:t>
      </w:r>
      <w:r w:rsidRPr="007F2E11">
        <w:rPr>
          <w:rFonts w:ascii="Arial" w:hAnsi="Arial" w:cs="Arial"/>
          <w:sz w:val="22"/>
        </w:rPr>
        <w:t xml:space="preserve"> </w:t>
      </w:r>
      <w:r w:rsidRPr="005C52B0">
        <w:rPr>
          <w:rFonts w:ascii="Arial" w:hAnsi="Arial" w:cs="Arial"/>
          <w:strike/>
          <w:color w:val="FF0000"/>
          <w:sz w:val="22"/>
        </w:rPr>
        <w:t>30 czerwca 2026 r. oraz w okresie 12 miesięcy od zakończenia podstawowego okresu, tj. od dnia 01 lipca 2026 r</w:t>
      </w:r>
      <w:r w:rsidRPr="007F2E11">
        <w:rPr>
          <w:rFonts w:ascii="Arial" w:hAnsi="Arial" w:cs="Arial"/>
          <w:color w:val="auto"/>
          <w:sz w:val="22"/>
        </w:rPr>
        <w:t>. W</w:t>
      </w:r>
      <w:r w:rsidRPr="007F2E11">
        <w:rPr>
          <w:rFonts w:ascii="Arial" w:hAnsi="Arial" w:cs="Arial"/>
          <w:sz w:val="22"/>
        </w:rPr>
        <w:t>sparcie techniczne w dni robocze (poniedziałek–piątek) w godzinach 7:30–15:30. Wsparcie nie może być limitowane liczbą zgłoszeń. Wsparcie techniczne obejmuje również aktualizacje i pomoc przy błędach konfiguracji.</w:t>
      </w:r>
    </w:p>
    <w:sectPr w:rsidR="007F2E11" w:rsidRPr="007F2E11" w:rsidSect="000F7DB3">
      <w:headerReference w:type="default" r:id="rId7"/>
      <w:footerReference w:type="even" r:id="rId8"/>
      <w:footerReference w:type="default" r:id="rId9"/>
      <w:footerReference w:type="first" r:id="rId10"/>
      <w:pgSz w:w="12240" w:h="15840"/>
      <w:pgMar w:top="1445" w:right="1800" w:bottom="2268" w:left="1800" w:header="708" w:footer="7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C04" w:rsidRDefault="007852A8">
      <w:pPr>
        <w:spacing w:after="0" w:line="240" w:lineRule="auto"/>
      </w:pPr>
      <w:r>
        <w:separator/>
      </w:r>
    </w:p>
  </w:endnote>
  <w:endnote w:type="continuationSeparator" w:id="0">
    <w:p w:rsidR="00B97C04" w:rsidRDefault="0078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B52" w:rsidRDefault="007852A8">
    <w:pPr>
      <w:spacing w:after="0" w:line="259" w:lineRule="auto"/>
      <w:ind w:left="-180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1143000</wp:posOffset>
          </wp:positionH>
          <wp:positionV relativeFrom="page">
            <wp:posOffset>9083040</wp:posOffset>
          </wp:positionV>
          <wp:extent cx="5486400" cy="518561"/>
          <wp:effectExtent l="0" t="0" r="0" b="0"/>
          <wp:wrapSquare wrapText="bothSides"/>
          <wp:docPr id="2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51856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824" w:rsidRDefault="00DE6824" w:rsidP="00DE6824">
    <w:pPr>
      <w:autoSpaceDE w:val="0"/>
      <w:autoSpaceDN w:val="0"/>
      <w:adjustRightInd w:val="0"/>
      <w:spacing w:after="0" w:line="240" w:lineRule="auto"/>
      <w:ind w:left="0" w:firstLine="0"/>
      <w:jc w:val="left"/>
      <w:rPr>
        <w:rFonts w:ascii="Arial-ItalicMT" w:eastAsiaTheme="minorEastAsia" w:hAnsi="Arial-ItalicMT" w:cs="Arial-ItalicMT"/>
        <w:i/>
        <w:iCs/>
        <w:color w:val="FF0000"/>
        <w:sz w:val="22"/>
      </w:rPr>
    </w:pPr>
    <w:r>
      <w:rPr>
        <w:rFonts w:ascii="Arial-ItalicMT" w:eastAsiaTheme="minorEastAsia" w:hAnsi="Arial-ItalicMT" w:cs="Arial-ItalicMT"/>
        <w:i/>
        <w:iCs/>
        <w:color w:val="FF0000"/>
        <w:sz w:val="22"/>
      </w:rPr>
      <w:t>UWAGA: Dokument należy podpisać kwalifikowanym podpisem elektronicznym lub</w:t>
    </w:r>
  </w:p>
  <w:p w:rsidR="00DE6824" w:rsidRDefault="00DE6824" w:rsidP="00DE6824">
    <w:pPr>
      <w:tabs>
        <w:tab w:val="center" w:pos="4536"/>
        <w:tab w:val="right" w:pos="9072"/>
      </w:tabs>
      <w:spacing w:after="0" w:line="240" w:lineRule="auto"/>
      <w:ind w:left="-284" w:firstLine="0"/>
      <w:jc w:val="center"/>
      <w:rPr>
        <w:rFonts w:ascii="Arial-ItalicMT" w:eastAsiaTheme="minorEastAsia" w:hAnsi="Arial-ItalicMT" w:cs="Arial-ItalicMT"/>
        <w:i/>
        <w:iCs/>
        <w:color w:val="FF0000"/>
        <w:sz w:val="22"/>
      </w:rPr>
    </w:pPr>
    <w:r>
      <w:rPr>
        <w:rFonts w:ascii="Arial-ItalicMT" w:eastAsiaTheme="minorEastAsia" w:hAnsi="Arial-ItalicMT" w:cs="Arial-ItalicMT"/>
        <w:i/>
        <w:iCs/>
        <w:color w:val="FF0000"/>
        <w:sz w:val="22"/>
      </w:rPr>
      <w:t>podpisem zaufanym lub podpisem osobistym.</w:t>
    </w:r>
  </w:p>
  <w:p w:rsidR="00DE6824" w:rsidRDefault="00DE6824" w:rsidP="00DE6824">
    <w:pPr>
      <w:tabs>
        <w:tab w:val="center" w:pos="4536"/>
        <w:tab w:val="right" w:pos="9072"/>
      </w:tabs>
      <w:spacing w:after="0" w:line="240" w:lineRule="auto"/>
      <w:ind w:left="-284" w:firstLine="0"/>
      <w:jc w:val="center"/>
      <w:rPr>
        <w:rFonts w:asciiTheme="minorHAnsi" w:eastAsiaTheme="minorHAnsi" w:hAnsiTheme="minorHAnsi" w:cstheme="minorBidi"/>
        <w:color w:val="auto"/>
        <w:sz w:val="22"/>
        <w:lang w:eastAsia="en-US"/>
      </w:rPr>
    </w:pPr>
  </w:p>
  <w:p w:rsidR="00FB4B52" w:rsidRPr="00AE0290" w:rsidRDefault="00AE0290" w:rsidP="00AE0290">
    <w:pPr>
      <w:tabs>
        <w:tab w:val="center" w:pos="4536"/>
        <w:tab w:val="right" w:pos="9072"/>
      </w:tabs>
      <w:spacing w:after="0" w:line="240" w:lineRule="auto"/>
      <w:ind w:left="-284" w:firstLine="0"/>
      <w:jc w:val="center"/>
      <w:rPr>
        <w:rFonts w:asciiTheme="minorHAnsi" w:eastAsiaTheme="minorHAnsi" w:hAnsiTheme="minorHAnsi" w:cstheme="minorBidi"/>
        <w:color w:val="auto"/>
        <w:sz w:val="22"/>
        <w:lang w:eastAsia="en-US"/>
      </w:rPr>
    </w:pPr>
    <w:r w:rsidRPr="00AE0290">
      <w:rPr>
        <w:rFonts w:asciiTheme="minorHAnsi" w:eastAsiaTheme="minorHAnsi" w:hAnsiTheme="minorHAnsi" w:cstheme="minorBidi"/>
        <w:color w:val="auto"/>
        <w:sz w:val="22"/>
        <w:lang w:eastAsia="en-US"/>
      </w:rPr>
      <w:t>Projekt Krajowego Planu Odbudowy i Zwiększenia Odporności (KPO) pn. „Cyberbezpieczny Urząd –</w:t>
    </w:r>
    <w:r>
      <w:rPr>
        <w:rFonts w:asciiTheme="minorHAnsi" w:eastAsiaTheme="minorHAnsi" w:hAnsiTheme="minorHAnsi" w:cstheme="minorBidi"/>
        <w:color w:val="auto"/>
        <w:sz w:val="22"/>
        <w:lang w:eastAsia="en-US"/>
      </w:rPr>
      <w:t xml:space="preserve"> </w:t>
    </w:r>
    <w:r w:rsidRPr="00AE0290">
      <w:rPr>
        <w:rFonts w:asciiTheme="minorHAnsi" w:eastAsiaTheme="minorHAnsi" w:hAnsiTheme="minorHAnsi" w:cstheme="minorBidi"/>
        <w:color w:val="auto"/>
        <w:sz w:val="22"/>
        <w:lang w:eastAsia="en-US"/>
      </w:rPr>
      <w:t>Podniesienie standardów cyberbezpieczeństwa Wojewody Małopolskiego i jednostek podległych”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B52" w:rsidRDefault="007852A8">
    <w:pPr>
      <w:spacing w:after="0" w:line="259" w:lineRule="auto"/>
      <w:ind w:left="-180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1143000</wp:posOffset>
          </wp:positionH>
          <wp:positionV relativeFrom="page">
            <wp:posOffset>9083040</wp:posOffset>
          </wp:positionV>
          <wp:extent cx="5486400" cy="518561"/>
          <wp:effectExtent l="0" t="0" r="0" b="0"/>
          <wp:wrapSquare wrapText="bothSides"/>
          <wp:docPr id="24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51856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C04" w:rsidRDefault="007852A8">
      <w:pPr>
        <w:spacing w:after="0" w:line="240" w:lineRule="auto"/>
      </w:pPr>
      <w:r>
        <w:separator/>
      </w:r>
    </w:p>
  </w:footnote>
  <w:footnote w:type="continuationSeparator" w:id="0">
    <w:p w:rsidR="00B97C04" w:rsidRDefault="00785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0290" w:rsidRDefault="00AE0290">
    <w:pPr>
      <w:pStyle w:val="Nagwek"/>
    </w:pPr>
    <w:r w:rsidRPr="004603F5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0" wp14:anchorId="6D2D24B1" wp14:editId="77E57E4A">
          <wp:simplePos x="0" y="0"/>
          <wp:positionH relativeFrom="page">
            <wp:posOffset>990600</wp:posOffset>
          </wp:positionH>
          <wp:positionV relativeFrom="page">
            <wp:posOffset>239395</wp:posOffset>
          </wp:positionV>
          <wp:extent cx="5760720" cy="538480"/>
          <wp:effectExtent l="0" t="0" r="0" b="0"/>
          <wp:wrapTopAndBottom/>
          <wp:docPr id="22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38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CD738A"/>
    <w:multiLevelType w:val="hybridMultilevel"/>
    <w:tmpl w:val="9028C120"/>
    <w:lvl w:ilvl="0" w:tplc="A3D83D9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920D5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B0D3F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B81F2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360A7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805AC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2E1A1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AEF94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44812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B52"/>
    <w:rsid w:val="000F7DB3"/>
    <w:rsid w:val="005C52B0"/>
    <w:rsid w:val="006B1F79"/>
    <w:rsid w:val="007852A8"/>
    <w:rsid w:val="00791D36"/>
    <w:rsid w:val="007F2E11"/>
    <w:rsid w:val="00947CE8"/>
    <w:rsid w:val="00991D24"/>
    <w:rsid w:val="00AE0290"/>
    <w:rsid w:val="00B97C04"/>
    <w:rsid w:val="00D03353"/>
    <w:rsid w:val="00DE6824"/>
    <w:rsid w:val="00FB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8846F"/>
  <w15:docId w15:val="{595FB587-17C4-41EF-8DCA-55C16F63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49" w:line="269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0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290"/>
    <w:rPr>
      <w:rFonts w:ascii="Times New Roman" w:eastAsia="Times New Roman" w:hAnsi="Times New Roman" w:cs="Times New Roman"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1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1D36"/>
    <w:rPr>
      <w:rFonts w:ascii="Segoe UI" w:eastAsia="Times New Roman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7F2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803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cp:lastModifiedBy>Piotr Gacal</cp:lastModifiedBy>
  <cp:revision>10</cp:revision>
  <dcterms:created xsi:type="dcterms:W3CDTF">2026-02-18T10:59:00Z</dcterms:created>
  <dcterms:modified xsi:type="dcterms:W3CDTF">2026-03-02T10:44:00Z</dcterms:modified>
</cp:coreProperties>
</file>